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1159"/>
        <w:gridCol w:w="1155"/>
        <w:gridCol w:w="1164"/>
        <w:gridCol w:w="1153"/>
        <w:gridCol w:w="1155"/>
        <w:gridCol w:w="1151"/>
      </w:tblGrid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Risk areas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Mean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SD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Min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Max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Sales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Marketing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Accounting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3.85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Product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Theft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Fraud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3.69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 damage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Customers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Supply chain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Legal liabilities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B4DD4" w:rsidTr="00A73B11">
        <w:tc>
          <w:tcPr>
            <w:tcW w:w="2093" w:type="dxa"/>
            <w:shd w:val="clear" w:color="auto" w:fill="F2F2F2" w:themeFill="background1" w:themeFillShade="F2"/>
          </w:tcPr>
          <w:p w:rsidR="003B4DD4" w:rsidRPr="00920A71" w:rsidRDefault="003B4DD4" w:rsidP="003B4DD4">
            <w:pPr>
              <w:pStyle w:val="Thesis"/>
              <w:numPr>
                <w:ilvl w:val="0"/>
                <w:numId w:val="1"/>
              </w:numPr>
              <w:spacing w:after="0" w:line="480" w:lineRule="auto"/>
              <w:rPr>
                <w:sz w:val="16"/>
                <w:szCs w:val="16"/>
              </w:rPr>
            </w:pPr>
            <w:r w:rsidRPr="00920A71">
              <w:rPr>
                <w:sz w:val="16"/>
                <w:szCs w:val="16"/>
              </w:rPr>
              <w:t>Health</w:t>
            </w:r>
            <w:r>
              <w:rPr>
                <w:sz w:val="16"/>
                <w:szCs w:val="16"/>
              </w:rPr>
              <w:t xml:space="preserve"> &amp;</w:t>
            </w:r>
            <w:r w:rsidRPr="00920A71">
              <w:rPr>
                <w:sz w:val="16"/>
                <w:szCs w:val="16"/>
              </w:rPr>
              <w:t xml:space="preserve"> safety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3B4DD4" w:rsidRPr="00920A71" w:rsidRDefault="003B4DD4" w:rsidP="00A73B11">
            <w:pPr>
              <w:pStyle w:val="Thesis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3B4DD4" w:rsidRDefault="003B4DD4" w:rsidP="003B4DD4">
      <w:pPr>
        <w:pStyle w:val="Thesis"/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Table 1: Frequency of risk areas</w:t>
      </w:r>
    </w:p>
    <w:p w:rsidR="003B4DD4" w:rsidRPr="00FC10B9" w:rsidRDefault="003B4DD4" w:rsidP="003B4DD4">
      <w:pPr>
        <w:pStyle w:val="Thesis"/>
        <w:spacing w:line="480" w:lineRule="auto"/>
        <w:rPr>
          <w:sz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3B4DD4" w:rsidRPr="000A69ED" w:rsidTr="00A73B11">
        <w:tc>
          <w:tcPr>
            <w:tcW w:w="6345" w:type="dxa"/>
            <w:shd w:val="clear" w:color="auto" w:fill="BFBFBF" w:themeFill="background1" w:themeFillShade="BF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Instrument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Frequency of adoption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Frequency of adopted systems being ‘very useful’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 Values publicly displayed on company premises.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46,15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66,67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 Communication of ethical issues verbally – that is, encouraging discussion of ethical issues.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84,61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63,64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Q3 Communication of ethical issues in newsletters, letters, email, website etc.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33,33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Q4 Training on ethical issues.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75,00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 xml:space="preserve">Q5 Generic set of rules 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69,23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33,33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Q6 Code of conduct.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38,46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Q7 Visibility of rules or ethical behaviour such as posters or published guides.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38.46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Q8 Ethical standards detailed in job advertisements.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 xml:space="preserve">Q9 Ethical standards explained in job interviews. 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53,85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71,43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Q10 Training new employees on ethical standards.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62,50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Q11 Inclusion of ethical standards / rules in employment contracts.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53,85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42,86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Q12 Requirement for employees to sign acknowledgement of ethical standards separate to the employment contract.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30,77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Q13 Training on ethical issues.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46,15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Q14 Access to an ethics help-line.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N/A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 xml:space="preserve">Q15 Access to a whistleblowing hotline. 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15,38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Q16 Anonymous reporting of misconduct is offered.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37,50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Q17 Methods of reporting misconduct are provided to employees.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Q18 Consequences of misconduct are communicated to employees verbally.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69,23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55,56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Q19 Consequences of misconduct are provided to employees in some form of written documentation.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66,67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Q20 Ethical behaviour is publicly recognised.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38,46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40,00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Q21 Ethical behaviour is rewarded financially.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N/A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Q22 Ethical behaviour is included in performance appraisals.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7,69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Q23 Communicating ethical standards to suppliers.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Q24 Communicating ethical standards to customers.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53,85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833DAA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3DAA">
              <w:rPr>
                <w:rFonts w:ascii="Arial" w:hAnsi="Arial" w:cs="Arial"/>
                <w:sz w:val="16"/>
                <w:szCs w:val="16"/>
                <w:lang w:eastAsia="ar-SA"/>
              </w:rPr>
              <w:t>14,29</w:t>
            </w:r>
          </w:p>
        </w:tc>
      </w:tr>
    </w:tbl>
    <w:p w:rsidR="003B4DD4" w:rsidRDefault="003B4DD4" w:rsidP="003B4DD4">
      <w:pPr>
        <w:pStyle w:val="Thesis"/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Table 2: Frequency and usefulness of systems utilised in ethics management</w:t>
      </w:r>
    </w:p>
    <w:p w:rsidR="003B4DD4" w:rsidRPr="00BB119B" w:rsidRDefault="003B4DD4" w:rsidP="003B4DD4">
      <w:pPr>
        <w:spacing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3B4DD4" w:rsidRPr="000A69ED" w:rsidTr="00A73B11">
        <w:tc>
          <w:tcPr>
            <w:tcW w:w="6345" w:type="dxa"/>
            <w:shd w:val="clear" w:color="auto" w:fill="A6A6A6" w:themeFill="background1" w:themeFillShade="A6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Operation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Frequency of adoption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Frequency of adopted operations being ‘very useful’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Q1 Accounting system that flags suspicious transactions.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69,23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88,89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Q2 Financial auditing with a focus on fraud prevention or identification.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92,31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58,11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Q3 Visual observation, such as CCTV to monitor employees.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76.92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40,00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Q4 Use of GPS technology to monitor employee activities and use / misuse of assets.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62,50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Q5 Email and internet controls and monitoring of employees’ web, email and social media usage.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38,46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40,00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Q6 Procurement processes to guard against bribery and corruption.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30,77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Q7 Customer selection and screening to prevent undesirable clients.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30,77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50,00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Q8 Control systems to ensure sales and marketing practices are ethical.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100,00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Q9 Quality control systems to ensure quality products and services are provided.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61,54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Q10 Health and safety controls are in place to ensure minimum standards are adhered to.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84,62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45,45</w:t>
            </w:r>
          </w:p>
        </w:tc>
      </w:tr>
      <w:tr w:rsidR="003B4DD4" w:rsidRPr="000A69ED" w:rsidTr="00A73B11">
        <w:tc>
          <w:tcPr>
            <w:tcW w:w="6345" w:type="dxa"/>
            <w:shd w:val="clear" w:color="auto" w:fill="D9D9D9" w:themeFill="background1" w:themeFillShade="D9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Q11 Advanced use of ICT technology to monitor and control employees’ activities.</w:t>
            </w:r>
          </w:p>
        </w:tc>
        <w:tc>
          <w:tcPr>
            <w:tcW w:w="1418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23,08</w:t>
            </w:r>
          </w:p>
        </w:tc>
        <w:tc>
          <w:tcPr>
            <w:tcW w:w="1417" w:type="dxa"/>
            <w:shd w:val="clear" w:color="auto" w:fill="FFFFFF" w:themeFill="background1"/>
          </w:tcPr>
          <w:p w:rsidR="003B4DD4" w:rsidRPr="00BB119B" w:rsidRDefault="003B4DD4" w:rsidP="00A73B1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119B">
              <w:rPr>
                <w:rFonts w:ascii="Arial" w:hAnsi="Arial" w:cs="Arial"/>
                <w:sz w:val="16"/>
                <w:szCs w:val="16"/>
                <w:lang w:eastAsia="ar-SA"/>
              </w:rPr>
              <w:t>66,67</w:t>
            </w:r>
          </w:p>
        </w:tc>
      </w:tr>
    </w:tbl>
    <w:p w:rsidR="003B4DD4" w:rsidRPr="00321624" w:rsidRDefault="003B4DD4" w:rsidP="003B4DD4">
      <w:pPr>
        <w:suppressAutoHyphens/>
        <w:spacing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Table 3: Frequency and usefulness of operational mechanisms to manage ethics</w:t>
      </w:r>
    </w:p>
    <w:p w:rsidR="00130C4C" w:rsidRDefault="00130C4C">
      <w:bookmarkStart w:id="0" w:name="_GoBack"/>
      <w:bookmarkEnd w:id="0"/>
    </w:p>
    <w:sectPr w:rsidR="00130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E45"/>
    <w:multiLevelType w:val="hybridMultilevel"/>
    <w:tmpl w:val="70BC7C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F"/>
    <w:rsid w:val="00130C4C"/>
    <w:rsid w:val="003B4DD4"/>
    <w:rsid w:val="006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7B54F7-6B21-4D8D-B574-F107CE9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D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hesis">
    <w:name w:val="Thesis"/>
    <w:basedOn w:val="Normal"/>
    <w:link w:val="ThesisChar"/>
    <w:qFormat/>
    <w:rsid w:val="003B4DD4"/>
    <w:pPr>
      <w:suppressAutoHyphens/>
      <w:spacing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hesisChar">
    <w:name w:val="Thesis Char"/>
    <w:basedOn w:val="DefaultParagraphFont"/>
    <w:link w:val="Thesis"/>
    <w:rsid w:val="003B4DD4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2016-08-31T09:04:00Z</dcterms:created>
  <dcterms:modified xsi:type="dcterms:W3CDTF">2016-08-31T09:06:00Z</dcterms:modified>
</cp:coreProperties>
</file>